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2"/>
        <w:rPr>
          <w:rFonts w:ascii="Arial" w:hAnsi="Arial" w:cs="Arial"/>
          <w:sz w:val="24"/>
        </w:rPr>
      </w:pPr>
      <w:bookmarkStart w:id="0" w:name="_GoBack"/>
      <w:bookmarkEnd w:id="0"/>
      <w:r>
        <w:rPr>
          <w:rFonts w:cs="Arial" w:ascii="Arial" w:hAnsi="Arial"/>
          <w:sz w:val="24"/>
        </w:rPr>
        <w:t>"A" TÍPUSÚ PÁLYÁZATI KIÍRÁS</w:t>
      </w:r>
    </w:p>
    <w:p>
      <w:pPr>
        <w:pStyle w:val="Normal"/>
        <w:jc w:val="both"/>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t>Somlójenő Önkormányzata az Emberi Erőforrások Minisztériumával együttműködve, az 51/2007. (III. 26.) Kormányrendelet alapján</w:t>
      </w:r>
    </w:p>
    <w:p>
      <w:pPr>
        <w:pStyle w:val="Normal"/>
        <w:jc w:val="center"/>
        <w:rPr>
          <w:rFonts w:ascii="Arial" w:hAnsi="Arial" w:cs="Arial"/>
          <w:b/>
          <w:b/>
          <w:bCs/>
        </w:rPr>
      </w:pPr>
      <w:r>
        <w:rPr>
          <w:rFonts w:cs="Arial" w:ascii="Arial" w:hAnsi="Arial"/>
          <w:b/>
          <w:bCs/>
        </w:rPr>
        <w:t>ezennel kiírja a 2018. évre</w:t>
      </w:r>
    </w:p>
    <w:p>
      <w:pPr>
        <w:pStyle w:val="Normal"/>
        <w:jc w:val="center"/>
        <w:rPr>
          <w:rFonts w:ascii="Arial" w:hAnsi="Arial" w:cs="Arial"/>
          <w:b/>
          <w:b/>
          <w:bCs/>
        </w:rPr>
      </w:pPr>
      <w:r>
        <w:rPr>
          <w:rFonts w:cs="Arial" w:ascii="Arial" w:hAnsi="Arial"/>
          <w:b/>
          <w:bCs/>
        </w:rPr>
        <w:t>a Bursa Hungarica Felsőoktatási Önkormányzati Ösztöndíjpályázatot</w:t>
      </w:r>
    </w:p>
    <w:p>
      <w:pPr>
        <w:pStyle w:val="Normal"/>
        <w:jc w:val="center"/>
        <w:rPr>
          <w:rFonts w:ascii="Arial" w:hAnsi="Arial" w:cs="Arial"/>
          <w:b/>
          <w:b/>
          <w:bCs/>
        </w:rPr>
      </w:pPr>
      <w:r>
        <w:rPr>
          <w:rFonts w:cs="Arial" w:ascii="Arial" w:hAnsi="Arial"/>
          <w:b/>
          <w:bCs/>
        </w:rPr>
        <w:t>felsőoktatási hallgatók számára</w:t>
      </w:r>
    </w:p>
    <w:p>
      <w:pPr>
        <w:pStyle w:val="Normal"/>
        <w:jc w:val="center"/>
        <w:rPr>
          <w:rFonts w:ascii="Arial" w:hAnsi="Arial" w:cs="Arial"/>
          <w:b/>
          <w:b/>
          <w:bCs/>
        </w:rPr>
      </w:pPr>
      <w:r>
        <w:rPr>
          <w:rFonts w:cs="Arial" w:ascii="Arial" w:hAnsi="Arial"/>
          <w:b/>
          <w:bCs/>
        </w:rPr>
        <w:t>a 2017/2018. tanév második és a 2018/2019. tanév első félévére vonatkozóan,</w:t>
      </w:r>
    </w:p>
    <w:p>
      <w:pPr>
        <w:pStyle w:val="Normal"/>
        <w:jc w:val="center"/>
        <w:rPr>
          <w:rFonts w:ascii="Arial" w:hAnsi="Arial" w:cs="Arial"/>
          <w:b/>
          <w:b/>
          <w:bCs/>
        </w:rPr>
      </w:pPr>
      <w:r>
        <w:rPr>
          <w:rFonts w:cs="Arial" w:ascii="Arial" w:hAnsi="Arial"/>
          <w:b/>
          <w:bCs/>
        </w:rPr>
        <w:t xml:space="preserve">összhangban </w:t>
      </w:r>
    </w:p>
    <w:p>
      <w:pPr>
        <w:pStyle w:val="Normal"/>
        <w:jc w:val="center"/>
        <w:rPr>
          <w:rFonts w:ascii="Arial" w:hAnsi="Arial" w:cs="Arial"/>
          <w:b/>
          <w:b/>
          <w:bCs/>
        </w:rPr>
      </w:pPr>
      <w:r>
        <w:rPr>
          <w:rFonts w:cs="Arial" w:ascii="Arial" w:hAnsi="Arial"/>
          <w:b/>
          <w:bCs/>
        </w:rPr>
      </w:r>
    </w:p>
    <w:p>
      <w:pPr>
        <w:pStyle w:val="ListParagraph"/>
        <w:numPr>
          <w:ilvl w:val="0"/>
          <w:numId w:val="2"/>
        </w:numPr>
        <w:rPr>
          <w:rFonts w:ascii="Arial" w:hAnsi="Arial" w:cs="Arial"/>
          <w:color w:val="000000"/>
          <w:sz w:val="22"/>
          <w:szCs w:val="22"/>
        </w:rPr>
      </w:pPr>
      <w:r>
        <w:rPr>
          <w:rFonts w:cs="Arial" w:ascii="Arial" w:hAnsi="Arial"/>
          <w:color w:val="000000"/>
          <w:sz w:val="22"/>
          <w:szCs w:val="22"/>
        </w:rPr>
        <w:t>a nemzeti felsőoktatásról szóló 2011. évi CCIV. törvény</w:t>
      </w:r>
    </w:p>
    <w:p>
      <w:pPr>
        <w:pStyle w:val="ListParagraph"/>
        <w:numPr>
          <w:ilvl w:val="0"/>
          <w:numId w:val="2"/>
        </w:numPr>
        <w:rPr>
          <w:rFonts w:ascii="Arial" w:hAnsi="Arial" w:cs="Arial"/>
          <w:color w:val="000000"/>
          <w:sz w:val="22"/>
          <w:szCs w:val="22"/>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2"/>
        </w:numPr>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2"/>
        </w:numPr>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2"/>
        </w:numPr>
        <w:rPr>
          <w:rFonts w:ascii="Arial" w:hAnsi="Arial" w:cs="Arial"/>
          <w:color w:val="000000"/>
          <w:sz w:val="22"/>
          <w:szCs w:val="22"/>
        </w:rPr>
      </w:pPr>
      <w:r>
        <w:rPr>
          <w:rFonts w:cs="Arial" w:ascii="Arial" w:hAnsi="Arial"/>
          <w:color w:val="000000"/>
          <w:sz w:val="22"/>
          <w:szCs w:val="22"/>
        </w:rPr>
        <w:t>a szociális igazgatásról és szociális ellátásokról szóló 1993. évi III. törvény</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az államháztartásról szóló 2011. évi CXCV. törvény (a továbbiakban: Áht.)</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Magyarország helyi önkormányzatairól szóló 2011. évi CLXXXIX. törvény</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a polgárok személyi adatainak és lakcímének nyilvántartásáról szóló 1992. évi LXVI. törvény</w:t>
      </w:r>
    </w:p>
    <w:p>
      <w:pPr>
        <w:pStyle w:val="Default"/>
        <w:spacing w:lineRule="auto" w:line="276"/>
        <w:jc w:val="center"/>
        <w:rPr>
          <w:rFonts w:ascii="Arial" w:hAnsi="Arial" w:cs="Arial"/>
          <w:color w:val="00000A"/>
          <w:sz w:val="22"/>
          <w:szCs w:val="22"/>
        </w:rPr>
      </w:pPr>
      <w:r>
        <w:rPr>
          <w:rFonts w:cs="Arial" w:ascii="Arial" w:hAnsi="Arial"/>
          <w:color w:val="00000A"/>
          <w:sz w:val="22"/>
          <w:szCs w:val="22"/>
        </w:rPr>
        <w:t>vonatkozó rendelkezéseivel.</w:t>
      </w:r>
    </w:p>
    <w:p>
      <w:pPr>
        <w:pStyle w:val="Normal"/>
        <w:jc w:val="center"/>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r>
    </w:p>
    <w:p>
      <w:pPr>
        <w:pStyle w:val="Normal"/>
        <w:jc w:val="both"/>
        <w:rPr>
          <w:rFonts w:ascii="Arial" w:hAnsi="Arial" w:cs="Arial"/>
          <w:b/>
          <w:b/>
          <w:sz w:val="22"/>
          <w:szCs w:val="22"/>
        </w:rPr>
      </w:pPr>
      <w:r>
        <w:rPr>
          <w:rFonts w:cs="Arial" w:ascii="Arial" w:hAnsi="Arial"/>
          <w:b/>
          <w:sz w:val="22"/>
          <w:szCs w:val="22"/>
        </w:rPr>
        <w:t>1. A pályázat célja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pPr>
        <w:pStyle w:val="Normal"/>
        <w:tabs>
          <w:tab w:val="left" w:pos="0" w:leader="none"/>
        </w:tabs>
        <w:jc w:val="both"/>
        <w:rPr>
          <w:rFonts w:ascii="Arial" w:hAnsi="Arial" w:cs="Arial"/>
          <w:b/>
          <w:b/>
          <w:bCs/>
          <w:sz w:val="22"/>
          <w:szCs w:val="22"/>
          <w:lang w:eastAsia="en-US"/>
        </w:rPr>
      </w:pPr>
      <w:r>
        <w:rPr>
          <w:rFonts w:cs="Arial" w:ascii="Arial" w:hAnsi="Arial"/>
          <w:b/>
          <w:bCs/>
          <w:sz w:val="22"/>
          <w:szCs w:val="22"/>
          <w:lang w:eastAsia="en-US"/>
        </w:rPr>
      </w:r>
    </w:p>
    <w:p>
      <w:pPr>
        <w:pStyle w:val="Normal"/>
        <w:tabs>
          <w:tab w:val="left" w:pos="0" w:leader="none"/>
        </w:tabs>
        <w:jc w:val="both"/>
        <w:rPr>
          <w:rFonts w:ascii="Arial" w:hAnsi="Arial" w:cs="Arial"/>
          <w:sz w:val="22"/>
          <w:szCs w:val="22"/>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Kormányrendelet és a nemzeti felsőoktatásról szóló 2011. évi CCIV. törvény </w:t>
      </w:r>
      <w:r>
        <w:rPr>
          <w:rFonts w:cs="Arial" w:ascii="Arial" w:hAnsi="Arial"/>
          <w:b/>
          <w:bCs/>
          <w:sz w:val="22"/>
          <w:szCs w:val="22"/>
          <w:lang w:eastAsia="en-US"/>
        </w:rPr>
        <w:t>szolgál.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2. A pályázók köre</w:t>
      </w:r>
    </w:p>
    <w:p>
      <w:pPr>
        <w:pStyle w:val="Normal"/>
        <w:jc w:val="both"/>
        <w:rPr>
          <w:rFonts w:ascii="Arial" w:hAnsi="Arial" w:cs="Arial"/>
          <w:b/>
          <w:b/>
          <w:sz w:val="22"/>
          <w:szCs w:val="22"/>
        </w:rPr>
      </w:pPr>
      <w:r>
        <w:rPr>
          <w:rFonts w:cs="Arial" w:ascii="Arial" w:hAnsi="Arial"/>
          <w:b/>
          <w:sz w:val="22"/>
          <w:szCs w:val="22"/>
        </w:rPr>
      </w:r>
    </w:p>
    <w:p>
      <w:pPr>
        <w:pStyle w:val="Szvegtrzs"/>
        <w:rPr>
          <w:rFonts w:ascii="Arial" w:hAnsi="Arial" w:cs="Arial"/>
          <w:sz w:val="22"/>
          <w:szCs w:val="22"/>
        </w:rPr>
      </w:pPr>
      <w:r>
        <w:rPr>
          <w:rFonts w:cs="Arial" w:ascii="Arial" w:hAnsi="Arial"/>
          <w:sz w:val="22"/>
          <w:szCs w:val="22"/>
        </w:rPr>
        <w:t>A Bursa Hungarica Ösztöndíjban az 51/2007. (III. 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Arial" w:hAnsi="Arial" w:cs="Arial"/>
          <w:b/>
          <w:b/>
          <w:sz w:val="22"/>
          <w:szCs w:val="22"/>
        </w:rPr>
      </w:pPr>
      <w:r>
        <w:rPr>
          <w:rFonts w:cs="Arial" w:ascii="Arial" w:hAnsi="Arial"/>
          <w:b/>
          <w:sz w:val="22"/>
          <w:szCs w:val="22"/>
        </w:rPr>
      </w:r>
    </w:p>
    <w:p>
      <w:pPr>
        <w:pStyle w:val="Normal"/>
        <w:spacing w:before="120" w:after="0"/>
        <w:jc w:val="both"/>
        <w:rPr>
          <w:rFonts w:ascii="Arial" w:hAnsi="Arial" w:cs="Arial"/>
          <w:iCs/>
          <w:sz w:val="22"/>
          <w:szCs w:val="22"/>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w:t>
      </w:r>
      <w:r>
        <w:rPr>
          <w:rFonts w:cs="Arial" w:ascii="Arial" w:hAnsi="Arial"/>
          <w:sz w:val="22"/>
          <w:szCs w:val="22"/>
        </w:rPr>
        <w:t xml:space="preserve"> </w:t>
      </w:r>
      <w:r>
        <w:rPr>
          <w:rFonts w:cs="Arial" w:ascii="Arial" w:hAnsi="Arial"/>
          <w:b/>
          <w:bCs/>
          <w:sz w:val="22"/>
          <w:szCs w:val="22"/>
        </w:rPr>
        <w:t>hátrányos szociális helyzetű</w:t>
      </w:r>
      <w:r>
        <w:rPr>
          <w:rFonts w:cs="Arial" w:ascii="Arial" w:hAnsi="Arial"/>
          <w:sz w:val="22"/>
          <w:szCs w:val="22"/>
        </w:rPr>
        <w:t xml:space="preserve"> felsőoktatási </w:t>
      </w:r>
      <w:r>
        <w:rPr>
          <w:rFonts w:cs="Arial" w:ascii="Arial" w:hAnsi="Arial"/>
          <w:b/>
          <w:bCs/>
          <w:sz w:val="22"/>
          <w:szCs w:val="22"/>
        </w:rPr>
        <w:t>hallgatók</w:t>
      </w:r>
      <w:r>
        <w:rPr>
          <w:rFonts w:cs="Arial" w:ascii="Arial" w:hAnsi="Arial"/>
          <w:sz w:val="22"/>
          <w:szCs w:val="22"/>
        </w:rPr>
        <w:t xml:space="preserve"> jelentkezhetnek, akik felsőoktatási intézményben (felsőoktatási hallgatói jogviszony keretében) </w:t>
      </w:r>
      <w:r>
        <w:rPr>
          <w:rFonts w:cs="Arial" w:ascii="Arial" w:hAnsi="Arial"/>
          <w:b/>
          <w:bCs/>
          <w:sz w:val="22"/>
          <w:szCs w:val="22"/>
        </w:rPr>
        <w:t xml:space="preserve">teljes idejű (nappali munkarend) </w:t>
      </w:r>
      <w:r>
        <w:rPr>
          <w:rFonts w:cs="Arial" w:ascii="Arial" w:hAnsi="Arial"/>
          <w:sz w:val="22"/>
          <w:szCs w:val="22"/>
        </w:rPr>
        <w:t xml:space="preserve">alapfokozatot és szakképzettséget eredményező alapképzésben, mesterfokozatot és szakképzettséget eredményező mesterképzésben, osztatlan képzésben vagy </w:t>
      </w:r>
      <w:r>
        <w:rPr>
          <w:rFonts w:cs="Arial" w:ascii="Arial" w:hAnsi="Arial"/>
          <w:iCs/>
          <w:sz w:val="22"/>
          <w:szCs w:val="22"/>
        </w:rPr>
        <w:t xml:space="preserve">felsőfokú, illetve felsőoktatási szakképzésben folytatják tanulmányaikat. </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i/>
          <w:sz w:val="22"/>
          <w:szCs w:val="22"/>
        </w:rPr>
        <w:t>Az ösztöndíjra pályázhatnak a 2017 szeptemberében felsőoktatási tanulmányaik utolsó évét megkezdő hallgatók is. Amennyiben az ösztöndíjas hallgatói jogviszonya 2018 őszén már nem áll fenn, úgy a 2018/2019. tanév első félévére eső ösztöndíj már nem kerül folyósításra.</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i/>
          <w:sz w:val="22"/>
          <w:szCs w:val="22"/>
        </w:rPr>
        <w:t>Az ösztöndíjra pályázatot nyújthatnak be azok a hallgatók is, akiknek a hallgatói jogviszonya a felsőoktatási intézményben a pályázás időpontjában szünetel. Az ösztöndíj folyósításának feltétele, hogy a 2017/2018. tanév második félévére a beiratkozott hallgató aktív hallgatói jogviszonnyal rendelkezzen.</w:t>
      </w:r>
    </w:p>
    <w:p>
      <w:pPr>
        <w:pStyle w:val="Normal"/>
        <w:jc w:val="both"/>
        <w:rPr>
          <w:rFonts w:ascii="Arial" w:hAnsi="Arial" w:cs="Arial"/>
          <w:sz w:val="22"/>
          <w:szCs w:val="22"/>
        </w:rPr>
      </w:pPr>
      <w:r>
        <w:rPr>
          <w:rFonts w:cs="Arial" w:ascii="Arial" w:hAnsi="Arial"/>
          <w:sz w:val="22"/>
          <w:szCs w:val="22"/>
        </w:rPr>
      </w:r>
    </w:p>
    <w:p>
      <w:pPr>
        <w:pStyle w:val="Szvegtrzs"/>
        <w:rPr/>
      </w:pPr>
      <w:r>
        <w:rPr>
          <w:rFonts w:cs="Arial" w:ascii="Arial" w:hAnsi="Arial"/>
          <w:b/>
          <w:sz w:val="22"/>
          <w:szCs w:val="22"/>
        </w:rPr>
        <w:t>Az ösztöndíjat minden pályázati fordulóban újra kell pályázni.</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 xml:space="preserve">3. A pályázat benyújtásának módja és határideje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A pályázatbeadáshoz a Bursa Hungarica Elektronikus Pályázatkezelési és Együttműködési Rendszerében (a továbbiakban: EPER-Bursa rendszer) egyszeri pályázói regisztráció szükséges, melynek elérése: </w:t>
      </w:r>
    </w:p>
    <w:p>
      <w:pPr>
        <w:pStyle w:val="Normal"/>
        <w:jc w:val="center"/>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vagy a belépést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pályázati űrlapot minden évben újra ki kell tölteni!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Normal"/>
        <w:spacing w:before="120" w:after="0"/>
        <w:jc w:val="both"/>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t xml:space="preserve">A pályázat rögzítésének és az önkormányzathoz történő benyújtásának </w:t>
      </w:r>
    </w:p>
    <w:p>
      <w:pPr>
        <w:pStyle w:val="Normal"/>
        <w:jc w:val="center"/>
        <w:rPr>
          <w:rFonts w:ascii="Arial" w:hAnsi="Arial" w:cs="Arial"/>
          <w:b/>
          <w:b/>
          <w:bCs/>
          <w:sz w:val="22"/>
          <w:szCs w:val="22"/>
        </w:rPr>
      </w:pPr>
      <w:r>
        <w:rPr>
          <w:rFonts w:cs="Arial" w:ascii="Arial" w:hAnsi="Arial"/>
          <w:b/>
          <w:bCs/>
          <w:sz w:val="22"/>
          <w:szCs w:val="22"/>
        </w:rPr>
        <w:t>határideje: 2017. november 7.</w:t>
      </w:r>
    </w:p>
    <w:p>
      <w:pPr>
        <w:pStyle w:val="Normal"/>
        <w:jc w:val="center"/>
        <w:rPr>
          <w:rFonts w:ascii="Arial" w:hAnsi="Arial" w:cs="Arial"/>
          <w:b/>
          <w:b/>
          <w:bCs/>
          <w:sz w:val="22"/>
          <w:szCs w:val="22"/>
        </w:rPr>
      </w:pPr>
      <w:r>
        <w:rPr>
          <w:rFonts w:cs="Arial" w:ascii="Arial" w:hAnsi="Arial"/>
          <w:b/>
          <w:bCs/>
          <w:sz w:val="22"/>
          <w:szCs w:val="22"/>
        </w:rPr>
      </w:r>
    </w:p>
    <w:p>
      <w:pPr>
        <w:pStyle w:val="Normal"/>
        <w:jc w:val="both"/>
        <w:rPr>
          <w:rFonts w:ascii="Arial" w:hAnsi="Arial" w:cs="Arial"/>
          <w:bCs/>
          <w:sz w:val="22"/>
          <w:szCs w:val="22"/>
        </w:rPr>
      </w:pPr>
      <w:r>
        <w:rPr>
          <w:rFonts w:cs="Arial" w:ascii="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Normal"/>
        <w:jc w:val="both"/>
        <w:rPr>
          <w:rFonts w:ascii="Arial" w:hAnsi="Arial" w:cs="Arial"/>
          <w:bCs/>
          <w:sz w:val="22"/>
          <w:szCs w:val="22"/>
        </w:rPr>
      </w:pPr>
      <w:r>
        <w:rPr>
          <w:rFonts w:cs="Arial" w:ascii="Arial" w:hAnsi="Arial"/>
          <w:bCs/>
          <w:sz w:val="22"/>
          <w:szCs w:val="22"/>
        </w:rPr>
      </w:r>
    </w:p>
    <w:p>
      <w:pPr>
        <w:pStyle w:val="Normal"/>
        <w:rPr>
          <w:rFonts w:ascii="Arial" w:hAnsi="Arial" w:cs="Arial"/>
          <w:b/>
          <w:b/>
          <w:bCs/>
          <w:sz w:val="22"/>
          <w:szCs w:val="22"/>
          <w:u w:val="single"/>
        </w:rPr>
      </w:pPr>
      <w:r>
        <w:rPr>
          <w:rFonts w:cs="Arial" w:ascii="Arial" w:hAnsi="Arial"/>
          <w:b/>
          <w:bCs/>
          <w:sz w:val="22"/>
          <w:szCs w:val="22"/>
          <w:u w:val="single"/>
        </w:rPr>
        <w:t>A pályázat kötelező mellékletei:</w:t>
      </w:r>
    </w:p>
    <w:p>
      <w:pPr>
        <w:pStyle w:val="Normal"/>
        <w:jc w:val="center"/>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a)</w:t>
        <w:tab/>
        <w:t>A felsőoktatási intézmény által kitöltött eredeti hallgatói jogviszony-igazolás a 2017/2018. tanév első félévéről.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b)</w:t>
        <w:tab/>
        <w:t>Igazolás a pályázó és a pályázóval egy háztartásban élők egy főre jutó havi nettó jövedelméről.</w:t>
      </w:r>
    </w:p>
    <w:p>
      <w:pPr>
        <w:pStyle w:val="Szvegtrzs"/>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sz w:val="22"/>
          <w:szCs w:val="22"/>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lakóhelye szerinti lakásban életvitelszerűen együttlakó, ott bejelentett lakóhellyel vagy tartózkodási hellyel rendelkező személyek.</w:t>
      </w:r>
    </w:p>
    <w:p>
      <w:pPr>
        <w:pStyle w:val="Normal"/>
        <w:jc w:val="both"/>
        <w:rPr>
          <w:rFonts w:ascii="Arial" w:hAnsi="Arial" w:cs="Arial"/>
          <w:i/>
          <w:i/>
          <w:sz w:val="22"/>
          <w:szCs w:val="22"/>
        </w:rPr>
      </w:pPr>
      <w:r>
        <w:rPr>
          <w:rFonts w:cs="Arial" w:ascii="Arial" w:hAnsi="Arial"/>
          <w:i/>
          <w:sz w:val="22"/>
          <w:szCs w:val="22"/>
        </w:rPr>
      </w:r>
    </w:p>
    <w:p>
      <w:pPr>
        <w:pStyle w:val="Footnotetext"/>
        <w:jc w:val="both"/>
        <w:rPr>
          <w:rFonts w:ascii="Arial" w:hAnsi="Arial" w:cs="Arial"/>
          <w:i/>
          <w:i/>
          <w:sz w:val="22"/>
          <w:szCs w:val="22"/>
        </w:rPr>
      </w:pPr>
      <w:r>
        <w:rPr>
          <w:rFonts w:cs="Arial" w:ascii="Arial" w:hAnsi="Arial"/>
          <w:b/>
          <w:i/>
          <w:sz w:val="22"/>
          <w:szCs w:val="22"/>
          <w:u w:val="single"/>
        </w:rPr>
        <w:t>Jövedelem:</w:t>
      </w:r>
    </w:p>
    <w:p>
      <w:pPr>
        <w:pStyle w:val="Normal"/>
        <w:jc w:val="both"/>
        <w:rPr>
          <w:rFonts w:ascii="Arial" w:hAnsi="Arial" w:cs="Arial"/>
          <w:i/>
          <w:i/>
          <w:sz w:val="22"/>
          <w:szCs w:val="22"/>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Normal"/>
        <w:ind w:left="900" w:hanging="191"/>
        <w:jc w:val="both"/>
        <w:rPr>
          <w:rFonts w:ascii="Arial" w:hAnsi="Arial" w:cs="Arial"/>
          <w:i/>
          <w:i/>
          <w:sz w:val="22"/>
          <w:szCs w:val="22"/>
        </w:rPr>
      </w:pPr>
      <w:r>
        <w:rPr>
          <w:rFonts w:cs="Arial" w:ascii="Arial" w:hAnsi="Arial"/>
          <w:i/>
          <w:iCs/>
          <w:sz w:val="22"/>
          <w:szCs w:val="22"/>
        </w:rPr>
        <w:t xml:space="preserve">- </w:t>
      </w:r>
      <w:r>
        <w:rPr>
          <w:rFonts w:cs="Arial" w:ascii="Arial" w:hAnsi="Arial"/>
          <w:i/>
          <w:sz w:val="22"/>
          <w:szCs w:val="22"/>
        </w:rPr>
        <w:t xml:space="preserve">a személyi jövedelemadóról szóló 1995. évi CXVII. törvény szerint meghatározott, belföldről vagy külföldről származó - megszerzett - vagyoni érték (bevétel), ideértve a jövedelemként figyelembe nem vett bevételt és az adómentes jövedelmet is, </w:t>
      </w:r>
      <w:r>
        <w:rPr>
          <w:rFonts w:cs="Arial" w:ascii="Arial" w:hAnsi="Arial"/>
          <w:sz w:val="22"/>
          <w:szCs w:val="22"/>
        </w:rPr>
        <w:t>és</w:t>
      </w:r>
    </w:p>
    <w:p>
      <w:pPr>
        <w:pStyle w:val="Normal"/>
        <w:ind w:left="900" w:hanging="191"/>
        <w:jc w:val="both"/>
        <w:rPr>
          <w:rFonts w:ascii="Arial" w:hAnsi="Arial" w:cs="Arial"/>
          <w:i/>
          <w:i/>
          <w:iCs/>
          <w:sz w:val="22"/>
          <w:szCs w:val="22"/>
        </w:rPr>
      </w:pPr>
      <w:r>
        <w:rPr>
          <w:rFonts w:cs="Arial" w:ascii="Arial" w:hAnsi="Arial"/>
          <w:i/>
          <w:iCs/>
          <w:sz w:val="22"/>
          <w:szCs w:val="22"/>
        </w:rPr>
        <w:t xml:space="preserve">- </w:t>
      </w:r>
      <w:r>
        <w:rPr>
          <w:rFonts w:cs="Arial" w:ascii="Arial" w:hAnsi="Arial"/>
          <w:i/>
          <w:sz w:val="22"/>
          <w:szCs w:val="22"/>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pPr>
        <w:pStyle w:val="Normal"/>
        <w:ind w:left="900" w:hanging="191"/>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Arial" w:hAnsi="Arial" w:cs="Arial"/>
          <w:b/>
          <w:b/>
          <w:i/>
          <w:i/>
          <w:sz w:val="22"/>
          <w:szCs w:val="22"/>
          <w:u w:val="single"/>
        </w:rPr>
      </w:pPr>
      <w:r>
        <w:rPr>
          <w:rFonts w:cs="Arial" w:ascii="Arial" w:hAnsi="Arial"/>
          <w:b/>
          <w:i/>
          <w:sz w:val="22"/>
          <w:szCs w:val="22"/>
          <w:u w:val="single"/>
        </w:rPr>
      </w:r>
    </w:p>
    <w:p>
      <w:pPr>
        <w:pStyle w:val="Normal"/>
        <w:jc w:val="both"/>
        <w:rPr>
          <w:rFonts w:ascii="Arial" w:hAnsi="Arial" w:cs="Arial"/>
          <w:i/>
          <w:i/>
          <w:sz w:val="22"/>
          <w:szCs w:val="22"/>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i/>
          <w:i/>
          <w:sz w:val="22"/>
          <w:szCs w:val="22"/>
          <w:u w:val="single"/>
        </w:rPr>
      </w:pPr>
      <w:r>
        <w:rPr>
          <w:rFonts w:cs="Arial" w:ascii="Arial" w:hAnsi="Arial"/>
          <w:b/>
          <w:i/>
          <w:sz w:val="22"/>
          <w:szCs w:val="22"/>
          <w:u w:val="single"/>
        </w:rPr>
        <w:t>Nem minősül jövedelemnek</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Pr>
          <w:rFonts w:cs="Arial" w:ascii="Arial" w:hAnsi="Arial"/>
          <w:i/>
          <w:sz w:val="22"/>
          <w:szCs w:val="22"/>
        </w:rPr>
        <w:t>,</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ListParagraph"/>
        <w:numPr>
          <w:ilvl w:val="0"/>
          <w:numId w:val="3"/>
        </w:numPr>
        <w:spacing w:before="120" w:after="0"/>
        <w:ind w:left="714" w:hanging="357"/>
        <w:contextualSpacing/>
        <w:jc w:val="both"/>
        <w:rPr>
          <w:rFonts w:ascii="Arial" w:hAnsi="Arial" w:cs="Arial"/>
          <w:i/>
          <w:i/>
          <w:sz w:val="22"/>
          <w:szCs w:val="22"/>
        </w:rPr>
      </w:pPr>
      <w:r>
        <w:rPr>
          <w:rFonts w:cs="Arial" w:ascii="Arial" w:hAnsi="Arial"/>
          <w:i/>
          <w:sz w:val="22"/>
          <w:szCs w:val="22"/>
        </w:rPr>
        <w:t>az anyasági támogatás,</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 tizenharmadik havi nyugdíj és a szépkorúak jubileumi juttatása,</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 fogadó szervezet által az önkéntesnek külön törvény alapján biztosított juttatás,</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 házi segítségnyújtás keretében társadalmi gondozásért kapott tiszteletdíj,</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az energiafelhasználáshoz nyújtott támogatás,</w:t>
      </w:r>
    </w:p>
    <w:p>
      <w:pPr>
        <w:pStyle w:val="ListParagraph"/>
        <w:numPr>
          <w:ilvl w:val="0"/>
          <w:numId w:val="3"/>
        </w:numPr>
        <w:spacing w:before="120" w:after="0"/>
        <w:ind w:left="714" w:hanging="357"/>
        <w:contextualSpacing/>
        <w:jc w:val="both"/>
        <w:rPr>
          <w:rFonts w:ascii="Arial" w:hAnsi="Arial" w:cs="Arial"/>
          <w:i/>
          <w:i/>
          <w:sz w:val="22"/>
          <w:szCs w:val="22"/>
        </w:rPr>
      </w:pPr>
      <w:r>
        <w:rPr>
          <w:rFonts w:cs="Arial" w:ascii="Arial" w:hAnsi="Arial"/>
          <w:i/>
          <w:sz w:val="22"/>
          <w:szCs w:val="22"/>
        </w:rPr>
        <w:t>a szociális szövetkezet valamint a közérdekű nyugdíjas szövetkezet öregségi nyugdíjban részesülő tagja által a szövetkezetben végzett tevékenység ellenértékeként megszerzett, a személyi jövedelemadóról szóló törvény alapján adómentes bevétel,</w:t>
      </w:r>
    </w:p>
    <w:p>
      <w:pPr>
        <w:pStyle w:val="Szvegtrzs"/>
        <w:numPr>
          <w:ilvl w:val="0"/>
          <w:numId w:val="3"/>
        </w:numPr>
        <w:spacing w:before="120" w:after="0"/>
        <w:ind w:left="714" w:hanging="357"/>
        <w:rPr>
          <w:rFonts w:ascii="Arial" w:hAnsi="Arial" w:cs="Arial"/>
          <w:i/>
          <w:i/>
          <w:sz w:val="22"/>
          <w:szCs w:val="22"/>
        </w:rPr>
      </w:pPr>
      <w:r>
        <w:rPr>
          <w:rFonts w:cs="Arial" w:ascii="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3"/>
        </w:numPr>
        <w:spacing w:before="120" w:after="0"/>
        <w:ind w:left="714" w:hanging="357"/>
        <w:rPr>
          <w:rFonts w:ascii="Arial" w:hAnsi="Arial" w:cs="Arial"/>
          <w:i/>
          <w:i/>
          <w:sz w:val="22"/>
          <w:szCs w:val="22"/>
        </w:rPr>
      </w:pPr>
      <w:r>
        <w:rPr>
          <w:rFonts w:cs="Arial" w:ascii="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4. Adatkezelés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spacing w:before="120" w:after="0"/>
        <w:jc w:val="both"/>
        <w:rPr>
          <w:rFonts w:ascii="Arial" w:hAnsi="Arial" w:cs="Arial"/>
          <w:sz w:val="22"/>
          <w:szCs w:val="22"/>
        </w:rPr>
      </w:pPr>
      <w:r>
        <w:rPr>
          <w:rFonts w:cs="Arial" w:ascii="Arial" w:hAnsi="Arial"/>
          <w:sz w:val="22"/>
          <w:szCs w:val="22"/>
        </w:rPr>
        <w:t>A pályázó pályázata benyújtásával</w:t>
      </w:r>
    </w:p>
    <w:p>
      <w:pPr>
        <w:pStyle w:val="Normal"/>
        <w:spacing w:before="120" w:after="0"/>
        <w:jc w:val="both"/>
        <w:rPr>
          <w:rFonts w:ascii="Arial" w:hAnsi="Arial" w:cs="Arial"/>
          <w:sz w:val="22"/>
          <w:szCs w:val="22"/>
        </w:rPr>
      </w:pPr>
      <w:r>
        <w:rPr>
          <w:rFonts w:cs="Arial" w:ascii="Arial" w:hAnsi="Arial"/>
          <w:sz w:val="22"/>
          <w:szCs w:val="22"/>
        </w:rPr>
        <w:t xml:space="preserve"> </w:t>
      </w:r>
    </w:p>
    <w:p>
      <w:pPr>
        <w:pStyle w:val="Normal"/>
        <w:ind w:left="420" w:hanging="360"/>
        <w:jc w:val="both"/>
        <w:rPr>
          <w:rFonts w:ascii="Arial" w:hAnsi="Arial" w:cs="Arial"/>
          <w:sz w:val="22"/>
          <w:szCs w:val="22"/>
        </w:rPr>
      </w:pPr>
      <w:r>
        <w:rPr>
          <w:rFonts w:cs="Arial" w:ascii="Arial" w:hAnsi="Arial"/>
          <w:sz w:val="22"/>
          <w:szCs w:val="22"/>
        </w:rPr>
        <w:t>a)   hozzájárul ahhoz, hogy a pályázati űrlapon rögzített személyes adatait 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pPr>
        <w:pStyle w:val="Normal"/>
        <w:ind w:left="420" w:hanging="360"/>
        <w:jc w:val="both"/>
        <w:rPr>
          <w:rFonts w:ascii="Arial" w:hAnsi="Arial" w:cs="Arial"/>
          <w:sz w:val="22"/>
          <w:szCs w:val="22"/>
        </w:rPr>
      </w:pPr>
      <w:r>
        <w:rPr>
          <w:rFonts w:cs="Arial" w:ascii="Arial" w:hAnsi="Arial"/>
          <w:sz w:val="22"/>
          <w:szCs w:val="22"/>
        </w:rPr>
        <w:t>b)  hozzájárul ahhoz, hogy a Támogatáskezelő személyes adatait az ösztöndíjpályázat lebonyolítása és a támogatásra való jogosultság ellenőrzése céljából az ösztöndíj időtartama alatt kezelje;</w:t>
      </w:r>
    </w:p>
    <w:p>
      <w:pPr>
        <w:pStyle w:val="Normal"/>
        <w:ind w:left="420" w:hanging="360"/>
        <w:jc w:val="both"/>
        <w:rPr>
          <w:rFonts w:ascii="Arial" w:hAnsi="Arial" w:cs="Arial"/>
          <w:sz w:val="22"/>
          <w:szCs w:val="22"/>
        </w:rPr>
      </w:pPr>
      <w:r>
        <w:rPr>
          <w:rFonts w:cs="Arial" w:ascii="Arial" w:hAnsi="Arial"/>
          <w:sz w:val="22"/>
          <w:szCs w:val="22"/>
        </w:rPr>
        <w:t>c) hozzájárul ahhoz, hogy a felsőoktatási intézmény hallgatói jogviszonyáról a Támogatáskezelőnek, illetve a támogató önkormányzatnak tájékoztatást nyújtson;</w:t>
      </w:r>
    </w:p>
    <w:p>
      <w:pPr>
        <w:pStyle w:val="Normal"/>
        <w:ind w:left="420" w:hanging="360"/>
        <w:jc w:val="both"/>
        <w:rPr>
          <w:rFonts w:ascii="Arial" w:hAnsi="Arial" w:cs="Arial"/>
          <w:sz w:val="22"/>
          <w:szCs w:val="22"/>
        </w:rPr>
      </w:pPr>
      <w:r>
        <w:rPr>
          <w:rFonts w:cs="Arial" w:ascii="Arial" w:hAnsi="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5. A pályázat elbírálása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beérkezett pályázatokat az illetékes települési önkormányzat bírálja el 2017. december 7-ig:</w:t>
      </w:r>
    </w:p>
    <w:p>
      <w:pPr>
        <w:pStyle w:val="Normal"/>
        <w:jc w:val="both"/>
        <w:rPr>
          <w:rFonts w:ascii="Arial" w:hAnsi="Arial" w:cs="Arial"/>
          <w:sz w:val="22"/>
          <w:szCs w:val="22"/>
        </w:rPr>
      </w:pPr>
      <w:r>
        <w:rPr>
          <w:rFonts w:cs="Arial" w:ascii="Arial" w:hAnsi="Arial"/>
          <w:sz w:val="22"/>
          <w:szCs w:val="22"/>
        </w:rPr>
      </w:r>
    </w:p>
    <w:p>
      <w:pPr>
        <w:pStyle w:val="Normal"/>
        <w:ind w:left="420" w:hanging="360"/>
        <w:jc w:val="both"/>
        <w:rPr>
          <w:rFonts w:ascii="Arial" w:hAnsi="Arial" w:cs="Arial"/>
          <w:sz w:val="22"/>
          <w:szCs w:val="22"/>
        </w:rPr>
      </w:pPr>
      <w:r>
        <w:rPr>
          <w:rFonts w:cs="Arial" w:ascii="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5 nap;</w:t>
      </w:r>
    </w:p>
    <w:p>
      <w:pPr>
        <w:pStyle w:val="Normal"/>
        <w:ind w:left="420" w:hanging="360"/>
        <w:jc w:val="both"/>
        <w:rPr>
          <w:rFonts w:ascii="Arial" w:hAnsi="Arial" w:cs="Arial"/>
          <w:sz w:val="22"/>
          <w:szCs w:val="22"/>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Normal"/>
        <w:ind w:left="420" w:hanging="360"/>
        <w:jc w:val="both"/>
        <w:rPr>
          <w:rFonts w:ascii="Arial" w:hAnsi="Arial" w:cs="Arial"/>
          <w:sz w:val="22"/>
          <w:szCs w:val="22"/>
        </w:rPr>
      </w:pPr>
      <w:r>
        <w:rPr>
          <w:rFonts w:cs="Arial" w:ascii="Arial" w:hAnsi="Arial"/>
          <w:sz w:val="22"/>
          <w:szCs w:val="22"/>
        </w:rPr>
        <w:t>c) az EPER-Bursa rendszerben nem rögzített, nem a rendszerből nyomtatott pályázati űrlapon, határidőn túl benyújtott, vagy formailag nem megfelelő pályázatokat a bírálatból kizárja, és kizárását írásban indokolja;</w:t>
      </w:r>
    </w:p>
    <w:p>
      <w:pPr>
        <w:pStyle w:val="Normal"/>
        <w:ind w:left="420" w:hanging="360"/>
        <w:jc w:val="both"/>
        <w:rPr>
          <w:rFonts w:ascii="Arial" w:hAnsi="Arial" w:cs="Arial"/>
          <w:sz w:val="22"/>
          <w:szCs w:val="22"/>
        </w:rPr>
      </w:pPr>
      <w:r>
        <w:rPr>
          <w:rFonts w:cs="Arial" w:ascii="Arial" w:hAnsi="Arial"/>
          <w:sz w:val="22"/>
          <w:szCs w:val="22"/>
        </w:rPr>
        <w:t>d) minden, határidőn belül benyújtott, formailag megfelelő pályázatot érdemben elbírál, és döntését írásban indokolja;</w:t>
      </w:r>
    </w:p>
    <w:p>
      <w:pPr>
        <w:pStyle w:val="Normal"/>
        <w:ind w:left="420" w:hanging="360"/>
        <w:jc w:val="both"/>
        <w:rPr>
          <w:rFonts w:ascii="Arial" w:hAnsi="Arial" w:cs="Arial"/>
          <w:sz w:val="22"/>
          <w:szCs w:val="22"/>
        </w:rPr>
      </w:pPr>
      <w:r>
        <w:rPr>
          <w:rFonts w:cs="Arial" w:ascii="Arial" w:hAnsi="Arial"/>
          <w:sz w:val="22"/>
          <w:szCs w:val="22"/>
        </w:rPr>
        <w:t>e) csak az önkormányzat területén lakóhellyel rendelkező pályázókat részesítheti támogatásban;</w:t>
      </w:r>
    </w:p>
    <w:p>
      <w:pPr>
        <w:pStyle w:val="Normal"/>
        <w:ind w:left="420" w:hanging="360"/>
        <w:jc w:val="both"/>
        <w:rPr>
          <w:rFonts w:ascii="Arial" w:hAnsi="Arial" w:cs="Arial"/>
          <w:sz w:val="22"/>
          <w:szCs w:val="22"/>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vizsgálata alapján járhat el.</w:t>
      </w:r>
    </w:p>
    <w:p>
      <w:pPr>
        <w:pStyle w:val="Szvegtrzs"/>
        <w:spacing w:before="120" w:after="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döntés ellen érdemben nincs helye jogorvoslatnak.</w:t>
      </w:r>
      <w:r>
        <w:rPr/>
        <w:t xml:space="preserve"> </w:t>
      </w:r>
      <w:r>
        <w:rPr>
          <w:rFonts w:cs="Arial" w:ascii="Arial" w:hAnsi="Arial"/>
          <w:sz w:val="22"/>
          <w:szCs w:val="22"/>
        </w:rPr>
        <w:t>A támogatói döntésre vonatkozóan nem lehet benyújtani kifogást, fellebbezést, amennyiben az nem jogszabálysértő, nem ütközik a pályázati kiírásba.</w:t>
      </w:r>
    </w:p>
    <w:p>
      <w:pPr>
        <w:pStyle w:val="Normal"/>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megítélt ösztöndíjat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6. Értesítés a pályázati döntésről</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Cs/>
          <w:sz w:val="22"/>
          <w:szCs w:val="22"/>
        </w:rPr>
      </w:pPr>
      <w:r>
        <w:rPr>
          <w:rFonts w:cs="Arial" w:ascii="Arial" w:hAnsi="Arial"/>
          <w:bCs/>
          <w:sz w:val="22"/>
          <w:szCs w:val="22"/>
        </w:rPr>
        <w:t>A települési önkormányzat a meghozott döntéséről és annak indokáról 2017. december 11-ig az EPER-Bursa rendszeren keresztül elektronikusan vagy postai úton küldött levélben értesíti a pályázókat.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Támogatáskezelő az önkormányzati döntési listák érkeztetését követően 2018. január 19-ig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Cs/>
          <w:sz w:val="22"/>
          <w:szCs w:val="22"/>
        </w:rPr>
        <w:t>A Támogatáskezelő az elbírálás ellenőrzését és az intézményi ösztöndíjrészek megállapítását követően 2018. március 9-ig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7. Az ösztöndíj folyósításának feltételei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csak azokban a hónapokban kerül folyósításra, amelyekben a pályázó beiratkozott, aktív hallgatója a felsőoktatási intézménynek.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ösztöndíj-folyósítás feltétele, hogy a támogatott pályázó hallgatói jogviszonya a 2017/2018.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8. Az ösztöndíj folyósítása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Az ösztöndíj időtartama 10 hónap, azaz két egymást követő tanulmányi félév: </w:t>
      </w:r>
    </w:p>
    <w:p>
      <w:pPr>
        <w:pStyle w:val="Normal"/>
        <w:jc w:val="both"/>
        <w:rPr>
          <w:rFonts w:ascii="Arial" w:hAnsi="Arial" w:cs="Arial"/>
          <w:sz w:val="22"/>
          <w:szCs w:val="22"/>
        </w:rPr>
      </w:pPr>
      <w:r>
        <w:rPr>
          <w:rFonts w:cs="Arial" w:ascii="Arial" w:hAnsi="Arial"/>
          <w:sz w:val="22"/>
          <w:szCs w:val="22"/>
        </w:rPr>
        <w:t>a 2017/2018. tanév második (tavaszi), illetve a 2018/2019. tanév első (őszi) féléve.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 folyósításának kezdete legkorábban: 2018. március.</w:t>
      </w:r>
    </w:p>
    <w:p>
      <w:pPr>
        <w:pStyle w:val="Normal"/>
        <w:jc w:val="both"/>
        <w:rPr>
          <w:rFonts w:ascii="Arial" w:hAnsi="Arial" w:cs="Arial"/>
          <w:sz w:val="22"/>
          <w:szCs w:val="22"/>
        </w:rPr>
      </w:pPr>
      <w:r>
        <w:rPr>
          <w:rFonts w:cs="Arial" w:ascii="Arial" w:hAnsi="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Arial" w:hAnsi="Arial" w:cs="Arial"/>
          <w:sz w:val="22"/>
          <w:szCs w:val="22"/>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9. A pályázók értesítési kötelezettségei</w:t>
      </w:r>
    </w:p>
    <w:p>
      <w:pPr>
        <w:pStyle w:val="Normal"/>
        <w:spacing w:before="120" w:after="0"/>
        <w:jc w:val="both"/>
        <w:rPr>
          <w:rFonts w:ascii="Arial" w:hAnsi="Arial" w:cs="Arial"/>
          <w:sz w:val="22"/>
          <w:szCs w:val="22"/>
        </w:rPr>
      </w:pPr>
      <w:r>
        <w:rPr>
          <w:rFonts w:cs="Arial" w:ascii="Arial" w:hAnsi="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Cs/>
          <w:sz w:val="22"/>
          <w:szCs w:val="22"/>
          <w:u w:val="single"/>
        </w:rPr>
        <w:t>írásban</w:t>
      </w:r>
      <w:r>
        <w:rPr>
          <w:rFonts w:cs="Arial" w:ascii="Arial" w:hAnsi="Arial"/>
          <w:bCs/>
          <w:sz w:val="22"/>
          <w:szCs w:val="22"/>
        </w:rPr>
        <w:t xml:space="preserve"> értesíteni</w:t>
      </w:r>
      <w:r>
        <w:rPr>
          <w:rFonts w:cs="Arial" w:ascii="Arial" w:hAnsi="Arial"/>
          <w:sz w:val="22"/>
          <w:szCs w:val="22"/>
        </w:rPr>
        <w:t xml:space="preserve"> </w:t>
      </w:r>
      <w:r>
        <w:rPr>
          <w:rFonts w:cs="Arial" w:ascii="Arial" w:hAnsi="Arial"/>
          <w:bCs/>
          <w:sz w:val="22"/>
          <w:szCs w:val="22"/>
        </w:rPr>
        <w:t>a folyósító felsőoktatási intézményt és</w:t>
      </w:r>
      <w:r>
        <w:rPr>
          <w:rFonts w:cs="Arial" w:ascii="Arial" w:hAnsi="Arial"/>
          <w:sz w:val="22"/>
          <w:szCs w:val="22"/>
        </w:rPr>
        <w:t xml:space="preserve"> </w:t>
      </w:r>
      <w:r>
        <w:rPr>
          <w:rFonts w:cs="Arial" w:ascii="Arial" w:hAnsi="Arial"/>
          <w:bCs/>
          <w:sz w:val="22"/>
          <w:szCs w:val="22"/>
        </w:rPr>
        <w:t>a Támogatáskezelőt (levelezési cím: Bursa Hungarica 1381 Budapest, Pf. 1418)</w:t>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Normal"/>
        <w:numPr>
          <w:ilvl w:val="0"/>
          <w:numId w:val="1"/>
        </w:numPr>
        <w:jc w:val="both"/>
        <w:rPr>
          <w:rFonts w:ascii="Arial" w:hAnsi="Arial" w:cs="Arial"/>
          <w:b/>
          <w:b/>
          <w:sz w:val="22"/>
          <w:szCs w:val="22"/>
        </w:rPr>
      </w:pPr>
      <w:r>
        <w:rPr>
          <w:rFonts w:cs="Arial" w:ascii="Arial" w:hAnsi="Arial"/>
          <w:b/>
          <w:sz w:val="22"/>
          <w:szCs w:val="22"/>
        </w:rPr>
        <w:t xml:space="preserve">tanulmányok halasztása; </w:t>
      </w:r>
    </w:p>
    <w:p>
      <w:pPr>
        <w:pStyle w:val="Normal"/>
        <w:numPr>
          <w:ilvl w:val="0"/>
          <w:numId w:val="1"/>
        </w:numPr>
        <w:jc w:val="both"/>
        <w:rPr>
          <w:rFonts w:ascii="Arial" w:hAnsi="Arial" w:cs="Arial"/>
          <w:b/>
          <w:b/>
          <w:sz w:val="22"/>
          <w:szCs w:val="22"/>
        </w:rPr>
      </w:pPr>
      <w:r>
        <w:rPr>
          <w:rFonts w:cs="Arial" w:ascii="Arial" w:hAnsi="Arial"/>
          <w:b/>
          <w:sz w:val="22"/>
          <w:szCs w:val="22"/>
        </w:rPr>
        <w:t>tanulmányok helyének megváltozása (az új felsőoktatási intézmény, kar, szak, megnevezésével);</w:t>
      </w:r>
    </w:p>
    <w:p>
      <w:pPr>
        <w:pStyle w:val="Normal"/>
        <w:numPr>
          <w:ilvl w:val="0"/>
          <w:numId w:val="1"/>
        </w:numPr>
        <w:jc w:val="both"/>
        <w:rPr>
          <w:rFonts w:ascii="Arial" w:hAnsi="Arial" w:cs="Arial"/>
          <w:b/>
          <w:b/>
          <w:sz w:val="22"/>
          <w:szCs w:val="22"/>
        </w:rPr>
      </w:pPr>
      <w:r>
        <w:rPr>
          <w:rFonts w:cs="Arial" w:ascii="Arial" w:hAnsi="Arial"/>
          <w:b/>
          <w:sz w:val="22"/>
          <w:szCs w:val="22"/>
        </w:rPr>
        <w:t>tanulmányi státusz (munkarend, képzési forma, finanszírozási forma) változása;</w:t>
      </w:r>
    </w:p>
    <w:p>
      <w:pPr>
        <w:pStyle w:val="Normal"/>
        <w:numPr>
          <w:ilvl w:val="0"/>
          <w:numId w:val="1"/>
        </w:numPr>
        <w:jc w:val="both"/>
        <w:rPr>
          <w:rFonts w:ascii="Arial" w:hAnsi="Arial" w:cs="Arial"/>
          <w:b/>
          <w:b/>
          <w:sz w:val="22"/>
          <w:szCs w:val="22"/>
        </w:rPr>
      </w:pPr>
      <w:r>
        <w:rPr>
          <w:rFonts w:cs="Arial" w:ascii="Arial" w:hAnsi="Arial"/>
          <w:b/>
          <w:sz w:val="22"/>
          <w:szCs w:val="22"/>
        </w:rPr>
        <w:t>személyes adatainak (név, lakóhely, elektronikus levelezési cím) változása.</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ösztöndíjas 30 napon belül köteles a jogosulatlanul felvett ösztöndíjat a folyósító felsőoktatási intézmény részére visszafizetni.</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 xml:space="preserve">Az ösztöndíjas lemondhat a számára megítélt támogatásról, amit az EPER-Bursa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pPr>
        <w:pStyle w:val="Szvegtrzs"/>
        <w:tabs>
          <w:tab w:val="left" w:pos="0" w:leader="none"/>
        </w:tabs>
        <w:rPr>
          <w:rFonts w:ascii="Arial" w:hAnsi="Arial" w:cs="Arial"/>
          <w:sz w:val="22"/>
          <w:szCs w:val="22"/>
        </w:rPr>
      </w:pPr>
      <w:r>
        <w:rPr>
          <w:rFonts w:cs="Arial" w:ascii="Arial" w:hAnsi="Arial"/>
          <w:sz w:val="22"/>
          <w:szCs w:val="22"/>
        </w:rPr>
      </w:r>
    </w:p>
    <w:p>
      <w:pPr>
        <w:pStyle w:val="Szvegtrzs"/>
        <w:tabs>
          <w:tab w:val="left" w:pos="0" w:leader="none"/>
        </w:tabs>
        <w:rPr>
          <w:rFonts w:ascii="Arial" w:hAnsi="Arial" w:cs="Arial"/>
          <w:sz w:val="22"/>
          <w:szCs w:val="22"/>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Normal"/>
        <w:tabs>
          <w:tab w:val="left" w:pos="0" w:leader="none"/>
        </w:tabs>
        <w:jc w:val="both"/>
        <w:rPr>
          <w:rFonts w:ascii="Arial" w:hAnsi="Arial" w:cs="Arial"/>
          <w:b/>
          <w:b/>
          <w:sz w:val="22"/>
          <w:szCs w:val="22"/>
        </w:rPr>
      </w:pPr>
      <w:r>
        <w:rPr>
          <w:rFonts w:cs="Arial" w:ascii="Arial" w:hAnsi="Arial"/>
          <w:b/>
          <w:sz w:val="22"/>
          <w:szCs w:val="22"/>
        </w:rPr>
      </w:r>
    </w:p>
    <w:p>
      <w:pPr>
        <w:pStyle w:val="Normal"/>
        <w:tabs>
          <w:tab w:val="left" w:pos="0" w:leader="none"/>
        </w:tabs>
        <w:jc w:val="both"/>
        <w:rPr>
          <w:rFonts w:ascii="Arial" w:hAnsi="Arial" w:cs="Arial"/>
          <w:b/>
          <w:b/>
          <w:sz w:val="22"/>
          <w:szCs w:val="22"/>
        </w:rPr>
      </w:pPr>
      <w:r>
        <w:rPr>
          <w:rFonts w:cs="Arial" w:ascii="Arial" w:hAnsi="Arial"/>
          <w:b/>
          <w:sz w:val="22"/>
          <w:szCs w:val="22"/>
        </w:rPr>
        <w:t>10. Lebonyolítás</w:t>
      </w:r>
    </w:p>
    <w:p>
      <w:pPr>
        <w:pStyle w:val="Normal"/>
        <w:tabs>
          <w:tab w:val="left" w:pos="0" w:leader="none"/>
        </w:tabs>
        <w:jc w:val="both"/>
        <w:rPr>
          <w:rFonts w:ascii="Arial" w:hAnsi="Arial" w:cs="Arial"/>
          <w:b/>
          <w:b/>
          <w:sz w:val="22"/>
          <w:szCs w:val="22"/>
        </w:rPr>
      </w:pPr>
      <w:r>
        <w:rPr>
          <w:rFonts w:cs="Arial" w:ascii="Arial" w:hAnsi="Arial"/>
          <w:b/>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ösztöndíjpályázattal kapcsolatos központi adatbázis-kezelői, koordinációs, a települési és a megyei önkormányzati ösztöndíjjal kapcsolatos pénzkezelési feladatokat a Támogatáskezelő látja el.</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Támogatáskezelő elérhetősége:</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center"/>
        <w:rPr>
          <w:rFonts w:ascii="Arial" w:hAnsi="Arial" w:cs="Arial"/>
          <w:b/>
          <w:b/>
          <w:sz w:val="22"/>
          <w:szCs w:val="22"/>
        </w:rPr>
      </w:pPr>
      <w:r>
        <w:rPr>
          <w:rFonts w:cs="Arial" w:ascii="Arial" w:hAnsi="Arial"/>
          <w:b/>
          <w:sz w:val="22"/>
          <w:szCs w:val="22"/>
        </w:rPr>
        <w:t>Emberi Erőforrás Támogatáskezelő</w:t>
      </w:r>
    </w:p>
    <w:p>
      <w:pPr>
        <w:pStyle w:val="Normal"/>
        <w:tabs>
          <w:tab w:val="left" w:pos="0" w:leader="none"/>
        </w:tabs>
        <w:jc w:val="center"/>
        <w:rPr>
          <w:rFonts w:ascii="Arial" w:hAnsi="Arial" w:cs="Arial"/>
          <w:b/>
          <w:b/>
          <w:sz w:val="22"/>
          <w:szCs w:val="22"/>
        </w:rPr>
      </w:pPr>
      <w:r>
        <w:rPr>
          <w:rFonts w:cs="Arial" w:ascii="Arial" w:hAnsi="Arial"/>
          <w:b/>
          <w:sz w:val="22"/>
          <w:szCs w:val="22"/>
        </w:rPr>
        <w:t>Bursa Hungarica Ügyfélszolgálat</w:t>
      </w:r>
    </w:p>
    <w:p>
      <w:pPr>
        <w:pStyle w:val="Normal"/>
        <w:tabs>
          <w:tab w:val="left" w:pos="0" w:leader="none"/>
        </w:tabs>
        <w:jc w:val="center"/>
        <w:rPr>
          <w:rFonts w:ascii="Arial" w:hAnsi="Arial" w:cs="Arial"/>
          <w:sz w:val="22"/>
          <w:szCs w:val="22"/>
        </w:rPr>
      </w:pPr>
      <w:r>
        <w:rPr>
          <w:rFonts w:cs="Arial" w:ascii="Arial" w:hAnsi="Arial"/>
          <w:sz w:val="22"/>
          <w:szCs w:val="22"/>
        </w:rPr>
      </w:r>
    </w:p>
    <w:p>
      <w:pPr>
        <w:pStyle w:val="Normal"/>
        <w:tabs>
          <w:tab w:val="left" w:pos="0" w:leader="none"/>
        </w:tabs>
        <w:jc w:val="center"/>
        <w:rPr>
          <w:rFonts w:ascii="Arial" w:hAnsi="Arial" w:cs="Arial"/>
          <w:sz w:val="22"/>
          <w:szCs w:val="22"/>
        </w:rPr>
      </w:pPr>
      <w:r>
        <w:rPr>
          <w:rFonts w:cs="Arial" w:ascii="Arial" w:hAnsi="Arial"/>
          <w:sz w:val="22"/>
          <w:szCs w:val="22"/>
        </w:rPr>
        <w:t>1381 Budapest, Pf.: 1418</w:t>
      </w:r>
    </w:p>
    <w:p>
      <w:pPr>
        <w:pStyle w:val="Normal"/>
        <w:tabs>
          <w:tab w:val="left" w:pos="0" w:leader="none"/>
        </w:tabs>
        <w:jc w:val="center"/>
        <w:rPr>
          <w:rFonts w:ascii="Arial" w:hAnsi="Arial" w:cs="Arial"/>
          <w:sz w:val="22"/>
          <w:szCs w:val="22"/>
        </w:rPr>
      </w:pPr>
      <w:r>
        <w:rPr>
          <w:rFonts w:cs="Arial" w:ascii="Arial" w:hAnsi="Arial"/>
          <w:sz w:val="22"/>
          <w:szCs w:val="22"/>
        </w:rPr>
        <w:t>Tel.: (06-1) 795-5600</w:t>
      </w:r>
    </w:p>
    <w:p>
      <w:pPr>
        <w:pStyle w:val="Normal"/>
        <w:tabs>
          <w:tab w:val="left" w:pos="0" w:leader="none"/>
        </w:tabs>
        <w:jc w:val="center"/>
        <w:rPr/>
      </w:pPr>
      <w:r>
        <w:rPr>
          <w:rFonts w:cs="Arial" w:ascii="Arial" w:hAnsi="Arial"/>
          <w:sz w:val="22"/>
          <w:szCs w:val="22"/>
        </w:rPr>
        <w:t xml:space="preserve">E-mail: </w:t>
      </w:r>
      <w:hyperlink r:id="rId3">
        <w:r>
          <w:rPr>
            <w:rStyle w:val="Internethivatkozs"/>
            <w:rFonts w:cs="Arial" w:ascii="Arial" w:hAnsi="Arial"/>
            <w:sz w:val="22"/>
            <w:szCs w:val="22"/>
          </w:rPr>
          <w:t>bursa@emet.gov.hu</w:t>
        </w:r>
      </w:hyperlink>
    </w:p>
    <w:p>
      <w:pPr>
        <w:pStyle w:val="Normal"/>
        <w:tabs>
          <w:tab w:val="left" w:pos="0" w:leader="none"/>
        </w:tabs>
        <w:jc w:val="center"/>
        <w:rPr/>
      </w:pPr>
      <w:r>
        <w:rPr>
          <w:rFonts w:cs="Arial" w:ascii="Arial" w:hAnsi="Arial"/>
          <w:sz w:val="22"/>
          <w:szCs w:val="22"/>
        </w:rPr>
        <w:t xml:space="preserve">Internet: </w:t>
      </w:r>
      <w:hyperlink r:id="rId4">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5"/>
      <w:type w:val="nextPage"/>
      <w:pgSz w:w="11906" w:h="16838"/>
      <w:pgMar w:left="1418" w:right="1418"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4304121"/>
    </w:sdtPr>
    <w:sdtContent>
      <w:p>
        <w:pPr>
          <w:pStyle w:val="Llb"/>
          <w:jc w:val="center"/>
          <w:rPr/>
        </w:pPr>
        <w:r>
          <w:rPr/>
          <w:fldChar w:fldCharType="begin"/>
        </w:r>
        <w:r>
          <w:instrText> PAGE </w:instrText>
        </w:r>
        <w:r>
          <w:fldChar w:fldCharType="separate"/>
        </w:r>
        <w:r>
          <w:t>6</w:t>
        </w:r>
        <w: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sz w:val="22"/>
        <w:b/>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ind w:left="1077" w:hanging="360"/>
      </w:pPr>
      <w:rPr>
        <w:rFonts w:ascii="Wingdings" w:hAnsi="Wingdings" w:cs="Wingdings" w:hint="default"/>
        <w:sz w:val="22"/>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3">
    <w:lvl w:ilvl="0">
      <w:start w:val="1"/>
      <w:numFmt w:val="lowerLetter"/>
      <w:lvlText w:val="%1)"/>
      <w:lvlJc w:val="left"/>
      <w:pPr>
        <w:ind w:left="720" w:hanging="360"/>
      </w:pPr>
      <w:rPr>
        <w:sz w:val="22"/>
        <w:rFonts w:ascii="Arial" w:hAnsi="Arial" w:cs="Fp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6f56"/>
    <w:pPr>
      <w:widowControl/>
      <w:bidi w:val="0"/>
      <w:jc w:val="left"/>
    </w:pPr>
    <w:rPr>
      <w:rFonts w:ascii="Times New Roman" w:hAnsi="Times New Roman" w:eastAsia="Times New Roman" w:cs="Times New Roman"/>
      <w:color w:val="00000A"/>
      <w:sz w:val="24"/>
      <w:szCs w:val="24"/>
      <w:lang w:val="hu-HU" w:eastAsia="hu-HU" w:bidi="ar-SA"/>
    </w:rPr>
  </w:style>
  <w:style w:type="paragraph" w:styleId="Cmsor1">
    <w:name w:val="Heading 1"/>
    <w:basedOn w:val="Normal"/>
    <w:link w:val="Cmsor1Char"/>
    <w:qFormat/>
    <w:rsid w:val="00f06f56"/>
    <w:pPr>
      <w:keepNext/>
      <w:jc w:val="both"/>
      <w:outlineLvl w:val="0"/>
    </w:pPr>
    <w:rPr>
      <w:b/>
      <w:bCs/>
    </w:rPr>
  </w:style>
  <w:style w:type="paragraph" w:styleId="Cmsor2">
    <w:name w:val="Heading 2"/>
    <w:basedOn w:val="Normal"/>
    <w:link w:val="Cmsor2Char"/>
    <w:qFormat/>
    <w:rsid w:val="00f06f56"/>
    <w:pPr>
      <w:keepNext/>
      <w:jc w:val="center"/>
      <w:outlineLvl w:val="1"/>
    </w:pPr>
    <w:rPr>
      <w:rFonts w:ascii="Arial Narrow" w:hAnsi="Arial Narrow"/>
      <w:spacing w:val="20"/>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760c0f"/>
    <w:rPr>
      <w:rFonts w:ascii="Cambria" w:hAnsi="Cambria" w:cs="Times New Roman"/>
      <w:b/>
      <w:bCs/>
      <w:sz w:val="32"/>
      <w:szCs w:val="32"/>
    </w:rPr>
  </w:style>
  <w:style w:type="character" w:styleId="Cmsor2Char" w:customStyle="1">
    <w:name w:val="Címsor 2 Char"/>
    <w:basedOn w:val="DefaultParagraphFont"/>
    <w:link w:val="Cmsor2"/>
    <w:semiHidden/>
    <w:qFormat/>
    <w:locked/>
    <w:rsid w:val="00760c0f"/>
    <w:rPr>
      <w:rFonts w:ascii="Cambria" w:hAnsi="Cambria" w:cs="Times New Roman"/>
      <w:b/>
      <w:bCs/>
      <w:i/>
      <w:iCs/>
      <w:sz w:val="28"/>
      <w:szCs w:val="28"/>
    </w:rPr>
  </w:style>
  <w:style w:type="character" w:styleId="SzvegtrzsChar" w:customStyle="1">
    <w:name w:val="Szövegtörzs Char"/>
    <w:basedOn w:val="DefaultParagraphFont"/>
    <w:link w:val="Szvegtrzs"/>
    <w:qFormat/>
    <w:locked/>
    <w:rsid w:val="00760c0f"/>
    <w:rPr>
      <w:rFonts w:cs="Times New Roman"/>
      <w:sz w:val="24"/>
      <w:szCs w:val="24"/>
    </w:rPr>
  </w:style>
  <w:style w:type="character" w:styleId="Internethivatkozs">
    <w:name w:val="Internet-hivatkozás"/>
    <w:basedOn w:val="DefaultParagraphFont"/>
    <w:rsid w:val="00f06f56"/>
    <w:rPr>
      <w:rFonts w:cs="Times New Roman"/>
      <w:color w:val="0000FF"/>
      <w:u w:val="single"/>
    </w:rPr>
  </w:style>
  <w:style w:type="character" w:styleId="Szvegtrzs2Char" w:customStyle="1">
    <w:name w:val="Szövegtörzs 2 Char"/>
    <w:basedOn w:val="DefaultParagraphFont"/>
    <w:link w:val="Szvegtrzs2"/>
    <w:semiHidden/>
    <w:qFormat/>
    <w:locked/>
    <w:rsid w:val="00760c0f"/>
    <w:rPr>
      <w:rFonts w:cs="Times New Roman"/>
      <w:sz w:val="24"/>
      <w:szCs w:val="24"/>
    </w:rPr>
  </w:style>
  <w:style w:type="character" w:styleId="LbjegyzetszvegChar" w:customStyle="1">
    <w:name w:val="Lábjegyzetszöveg Char"/>
    <w:basedOn w:val="DefaultParagraphFont"/>
    <w:link w:val="Lbjegyzetszveg"/>
    <w:semiHidden/>
    <w:qFormat/>
    <w:locked/>
    <w:rsid w:val="00760c0f"/>
    <w:rPr>
      <w:rFonts w:cs="Times New Roman"/>
      <w:sz w:val="20"/>
      <w:szCs w:val="20"/>
    </w:rPr>
  </w:style>
  <w:style w:type="character" w:styleId="Szvegtrzs3Char" w:customStyle="1">
    <w:name w:val="Szövegtörzs 3 Char"/>
    <w:basedOn w:val="DefaultParagraphFont"/>
    <w:link w:val="Szvegtrzs3"/>
    <w:semiHidden/>
    <w:qFormat/>
    <w:locked/>
    <w:rsid w:val="00760c0f"/>
    <w:rPr>
      <w:rFonts w:cs="Times New Roman"/>
      <w:sz w:val="16"/>
      <w:szCs w:val="16"/>
    </w:rPr>
  </w:style>
  <w:style w:type="character" w:styleId="BuborkszvegChar" w:customStyle="1">
    <w:name w:val="Buborékszöveg Char"/>
    <w:basedOn w:val="DefaultParagraphFont"/>
    <w:link w:val="Buborkszveg"/>
    <w:semiHidden/>
    <w:qFormat/>
    <w:locked/>
    <w:rsid w:val="00760c0f"/>
    <w:rPr>
      <w:rFonts w:cs="Times New Roman"/>
      <w:sz w:val="2"/>
    </w:rPr>
  </w:style>
  <w:style w:type="character" w:styleId="Annotationreference">
    <w:name w:val="annotation reference"/>
    <w:basedOn w:val="DefaultParagraphFont"/>
    <w:uiPriority w:val="99"/>
    <w:qFormat/>
    <w:rsid w:val="000346ee"/>
    <w:rPr>
      <w:rFonts w:cs="Times New Roman"/>
      <w:sz w:val="16"/>
      <w:szCs w:val="16"/>
    </w:rPr>
  </w:style>
  <w:style w:type="character" w:styleId="JegyzetszvegChar" w:customStyle="1">
    <w:name w:val="Jegyzetszöveg Char"/>
    <w:basedOn w:val="DefaultParagraphFont"/>
    <w:link w:val="Jegyzetszveg"/>
    <w:uiPriority w:val="99"/>
    <w:qFormat/>
    <w:locked/>
    <w:rsid w:val="00760c0f"/>
    <w:rPr>
      <w:rFonts w:cs="Times New Roman"/>
      <w:sz w:val="20"/>
      <w:szCs w:val="20"/>
    </w:rPr>
  </w:style>
  <w:style w:type="character" w:styleId="MegjegyzstrgyaChar" w:customStyle="1">
    <w:name w:val="Megjegyzés tárgya Char"/>
    <w:basedOn w:val="JegyzetszvegChar"/>
    <w:link w:val="Megjegyzstrgya"/>
    <w:semiHidden/>
    <w:qFormat/>
    <w:locked/>
    <w:rsid w:val="00760c0f"/>
    <w:rPr>
      <w:rFonts w:cs="Times New Roman"/>
      <w:b/>
      <w:bCs/>
      <w:sz w:val="20"/>
      <w:szCs w:val="20"/>
    </w:rPr>
  </w:style>
  <w:style w:type="character" w:styleId="DokumentumtrkpChar" w:customStyle="1">
    <w:name w:val="Dokumentumtérkép Char"/>
    <w:basedOn w:val="DefaultParagraphFont"/>
    <w:link w:val="Dokumentumtrkp"/>
    <w:semiHidden/>
    <w:qFormat/>
    <w:locked/>
    <w:rsid w:val="00760c0f"/>
    <w:rPr>
      <w:rFonts w:cs="Times New Roman"/>
      <w:sz w:val="2"/>
    </w:rPr>
  </w:style>
  <w:style w:type="character" w:styleId="LfejChar" w:customStyle="1">
    <w:name w:val="Élőfej Char"/>
    <w:basedOn w:val="DefaultParagraphFont"/>
    <w:link w:val="lfej"/>
    <w:qFormat/>
    <w:rsid w:val="002b7428"/>
    <w:rPr>
      <w:sz w:val="24"/>
      <w:szCs w:val="24"/>
    </w:rPr>
  </w:style>
  <w:style w:type="character" w:styleId="LlbChar" w:customStyle="1">
    <w:name w:val="Élőláb Char"/>
    <w:basedOn w:val="DefaultParagraphFont"/>
    <w:link w:val="llb"/>
    <w:uiPriority w:val="99"/>
    <w:qFormat/>
    <w:rsid w:val="002b7428"/>
    <w:rPr>
      <w:sz w:val="24"/>
      <w:szCs w:val="24"/>
    </w:rPr>
  </w:style>
  <w:style w:type="character" w:styleId="ListLabel1">
    <w:name w:val="ListLabel 1"/>
    <w:qFormat/>
    <w:rPr>
      <w:rFonts w:cs="Fpi"/>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w:hAnsi="Arial" w:cs="Fpi"/>
      <w:sz w:val="22"/>
    </w:rPr>
  </w:style>
  <w:style w:type="character" w:styleId="ListLabel14">
    <w:name w:val="ListLabel 14"/>
    <w:qFormat/>
    <w:rPr>
      <w:rFonts w:ascii="Arial" w:hAnsi="Arial" w:cs="OpenSymbol"/>
      <w:b/>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Arial" w:hAnsi="Arial" w:cs="OpenSymbol"/>
      <w:b/>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Arial" w:hAnsi="Arial" w:cs="OpenSymbol"/>
      <w:b/>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Arial" w:hAnsi="Arial" w:cs="OpenSymbol"/>
      <w:b/>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Arial" w:hAnsi="Arial" w:cs="Wingdings"/>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Arial" w:hAnsi="Arial" w:cs="Fpi"/>
      <w:sz w:val="22"/>
    </w:rPr>
  </w:style>
  <w:style w:type="character" w:styleId="ListLabel60">
    <w:name w:val="ListLabel 60"/>
    <w:qFormat/>
    <w:rPr>
      <w:rFonts w:ascii="Arial" w:hAnsi="Arial" w:cs="OpenSymbol"/>
      <w:b/>
      <w:sz w:val="22"/>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ascii="Arial" w:hAnsi="Arial" w:cs="OpenSymbol"/>
      <w:b/>
      <w:sz w:val="22"/>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ascii="Arial" w:hAnsi="Arial" w:cs="OpenSymbol"/>
      <w:b/>
      <w:sz w:val="22"/>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ascii="Arial" w:hAnsi="Arial" w:cs="OpenSymbol"/>
      <w:b/>
      <w:sz w:val="22"/>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ascii="Arial" w:hAnsi="Arial" w:cs="Wingdings"/>
      <w:sz w:val="22"/>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ascii="Arial" w:hAnsi="Arial" w:cs="Fpi"/>
      <w:sz w:val="22"/>
    </w:rPr>
  </w:style>
  <w:style w:type="character" w:styleId="ListLabel106">
    <w:name w:val="ListLabel 106"/>
    <w:qFormat/>
    <w:rPr>
      <w:rFonts w:ascii="Arial" w:hAnsi="Arial" w:cs="OpenSymbol"/>
      <w:b/>
      <w:sz w:val="22"/>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Arial" w:hAnsi="Arial" w:cs="OpenSymbol"/>
      <w:b/>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ascii="Arial" w:hAnsi="Arial" w:cs="OpenSymbol"/>
      <w:b/>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Arial" w:hAnsi="Arial" w:cs="OpenSymbol"/>
      <w:b/>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Arial" w:hAnsi="Arial" w:cs="Wingdings"/>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Arial" w:hAnsi="Arial" w:cs="Fpi"/>
      <w:sz w:val="22"/>
    </w:rPr>
  </w:style>
  <w:style w:type="character" w:styleId="ListLabel152">
    <w:name w:val="ListLabel 152"/>
    <w:qFormat/>
    <w:rPr>
      <w:rFonts w:ascii="Arial" w:hAnsi="Arial" w:cs="OpenSymbol"/>
      <w:b/>
      <w:sz w:val="22"/>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ascii="Arial" w:hAnsi="Arial" w:cs="Wingdings"/>
      <w:sz w:val="22"/>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ascii="Arial" w:hAnsi="Arial" w:cs="Fpi"/>
      <w:sz w:val="22"/>
    </w:rPr>
  </w:style>
  <w:style w:type="paragraph" w:styleId="Cmsor">
    <w:name w:val="Címsor"/>
    <w:basedOn w:val="Normal"/>
    <w:next w:val="Szvegtrzs"/>
    <w:qFormat/>
    <w:pPr>
      <w:keepNext/>
      <w:spacing w:before="240" w:after="120"/>
    </w:pPr>
    <w:rPr>
      <w:rFonts w:ascii="Liberation Sans" w:hAnsi="Liberation Sans" w:eastAsia="Microsoft YaHei" w:cs="Mangal"/>
      <w:sz w:val="28"/>
      <w:szCs w:val="28"/>
    </w:rPr>
  </w:style>
  <w:style w:type="paragraph" w:styleId="Szvegtrzs">
    <w:name w:val="Body Text"/>
    <w:basedOn w:val="Normal"/>
    <w:link w:val="SzvegtrzsChar"/>
    <w:rsid w:val="00f06f56"/>
    <w:pPr>
      <w:jc w:val="both"/>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BodyText2">
    <w:name w:val="Body Text 2"/>
    <w:basedOn w:val="Normal"/>
    <w:link w:val="Szvegtrzs2Char"/>
    <w:qFormat/>
    <w:rsid w:val="00f06f56"/>
    <w:pPr>
      <w:jc w:val="both"/>
    </w:pPr>
    <w:rPr>
      <w:rFonts w:ascii="Arial Narrow" w:hAnsi="Arial Narrow" w:cs="Fpi"/>
      <w:b/>
      <w:bCs/>
      <w:sz w:val="22"/>
    </w:rPr>
  </w:style>
  <w:style w:type="paragraph" w:styleId="Footnotetext">
    <w:name w:val="footnote text"/>
    <w:basedOn w:val="Normal"/>
    <w:link w:val="LbjegyzetszvegChar"/>
    <w:semiHidden/>
    <w:qFormat/>
    <w:rsid w:val="00f06f56"/>
    <w:pPr/>
    <w:rPr>
      <w:sz w:val="20"/>
      <w:szCs w:val="20"/>
    </w:rPr>
  </w:style>
  <w:style w:type="paragraph" w:styleId="BodyText3">
    <w:name w:val="Body Text 3"/>
    <w:basedOn w:val="Normal"/>
    <w:link w:val="Szvegtrzs3Char"/>
    <w:qFormat/>
    <w:rsid w:val="00f06f56"/>
    <w:pPr>
      <w:spacing w:before="240" w:after="0"/>
      <w:jc w:val="center"/>
    </w:pPr>
    <w:rPr>
      <w:rFonts w:ascii="Arial Narrow" w:hAnsi="Arial Narrow" w:cs="Fpi"/>
      <w:b/>
      <w:bCs/>
      <w:sz w:val="26"/>
    </w:rPr>
  </w:style>
  <w:style w:type="paragraph" w:styleId="BalloonText">
    <w:name w:val="Balloon Text"/>
    <w:basedOn w:val="Normal"/>
    <w:link w:val="BuborkszvegChar"/>
    <w:semiHidden/>
    <w:qFormat/>
    <w:rsid w:val="004e2960"/>
    <w:pPr/>
    <w:rPr>
      <w:rFonts w:ascii="Tahoma" w:hAnsi="Tahoma" w:cs="Tahoma"/>
      <w:sz w:val="16"/>
      <w:szCs w:val="16"/>
    </w:rPr>
  </w:style>
  <w:style w:type="paragraph" w:styleId="Annotationtext">
    <w:name w:val="annotation text"/>
    <w:basedOn w:val="Normal"/>
    <w:link w:val="JegyzetszvegChar"/>
    <w:uiPriority w:val="99"/>
    <w:qFormat/>
    <w:rsid w:val="000346ee"/>
    <w:pPr/>
    <w:rPr>
      <w:sz w:val="20"/>
      <w:szCs w:val="20"/>
    </w:rPr>
  </w:style>
  <w:style w:type="paragraph" w:styleId="Annotationsubject">
    <w:name w:val="annotation subject"/>
    <w:basedOn w:val="Annotationtext"/>
    <w:link w:val="MegjegyzstrgyaChar"/>
    <w:semiHidden/>
    <w:qFormat/>
    <w:rsid w:val="000346ee"/>
    <w:pPr/>
    <w:rPr>
      <w:b/>
      <w:bCs/>
    </w:rPr>
  </w:style>
  <w:style w:type="paragraph" w:styleId="DocumentMap">
    <w:name w:val="Document Map"/>
    <w:basedOn w:val="Normal"/>
    <w:link w:val="DokumentumtrkpChar"/>
    <w:semiHidden/>
    <w:qFormat/>
    <w:rsid w:val="00523e51"/>
    <w:pPr>
      <w:shd w:val="clear" w:color="auto" w:fill="000080"/>
    </w:pPr>
    <w:rPr>
      <w:rFonts w:ascii="Tahoma" w:hAnsi="Tahoma" w:cs="Tahoma"/>
      <w:sz w:val="20"/>
      <w:szCs w:val="20"/>
    </w:rPr>
  </w:style>
  <w:style w:type="paragraph" w:styleId="ListParagraph">
    <w:name w:val="List Paragraph"/>
    <w:basedOn w:val="Normal"/>
    <w:uiPriority w:val="34"/>
    <w:qFormat/>
    <w:rsid w:val="00e85266"/>
    <w:pPr>
      <w:spacing w:before="0" w:after="0"/>
      <w:ind w:left="720" w:hanging="0"/>
      <w:contextualSpacing/>
    </w:pPr>
    <w:rPr/>
  </w:style>
  <w:style w:type="paragraph" w:styleId="Default" w:customStyle="1">
    <w:name w:val="Default"/>
    <w:qFormat/>
    <w:rsid w:val="00b82729"/>
    <w:pPr>
      <w:widowControl/>
      <w:bidi w:val="0"/>
      <w:jc w:val="left"/>
    </w:pPr>
    <w:rPr>
      <w:rFonts w:ascii="Times New Roman" w:hAnsi="Times New Roman" w:eastAsia="Times New Roman" w:cs="Times New Roman"/>
      <w:color w:val="000000"/>
      <w:sz w:val="24"/>
      <w:szCs w:val="24"/>
      <w:lang w:val="hu-HU" w:eastAsia="hu-HU" w:bidi="ar-SA"/>
    </w:rPr>
  </w:style>
  <w:style w:type="paragraph" w:styleId="Lfej">
    <w:name w:val="Header"/>
    <w:basedOn w:val="Normal"/>
    <w:link w:val="lfejChar"/>
    <w:unhideWhenUsed/>
    <w:rsid w:val="002b7428"/>
    <w:pPr>
      <w:tabs>
        <w:tab w:val="center" w:pos="4536" w:leader="none"/>
        <w:tab w:val="right" w:pos="9072" w:leader="none"/>
      </w:tabs>
    </w:pPr>
    <w:rPr/>
  </w:style>
  <w:style w:type="paragraph" w:styleId="Llb">
    <w:name w:val="Footer"/>
    <w:basedOn w:val="Normal"/>
    <w:link w:val="llbChar"/>
    <w:uiPriority w:val="99"/>
    <w:unhideWhenUsed/>
    <w:rsid w:val="002b7428"/>
    <w:pPr>
      <w:tabs>
        <w:tab w:val="center" w:pos="4536" w:leader="none"/>
        <w:tab w:val="right" w:pos="9072" w:leader="none"/>
      </w:tabs>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LibreOffice/5.3.3.2$Windows_x86 LibreOffice_project/3d9a8b4b4e538a85e0782bd6c2d430bafe583448</Application>
  <Pages>7</Pages>
  <Words>2580</Words>
  <Characters>18935</Characters>
  <CharactersWithSpaces>21405</CharactersWithSpaces>
  <Paragraphs>114</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2017-08-29T09:18:00Z</dcterms:created>
  <dc:creator>szekelyt</dc:creator>
  <dc:description/>
  <dc:language>hu-HU</dc:language>
  <cp:lastModifiedBy/>
  <cp:lastPrinted>2014-06-20T15:38:00Z</cp:lastPrinted>
  <dcterms:modified xsi:type="dcterms:W3CDTF">2017-10-03T11:59:27Z</dcterms:modified>
  <cp:revision>6</cp:revision>
  <dc:subject/>
  <dc:title>"A"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FPI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